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85" w:rsidRPr="00632C85" w:rsidRDefault="00632C85" w:rsidP="00F9150E">
      <w:pPr>
        <w:rPr>
          <w:b/>
          <w:color w:val="000000" w:themeColor="text1"/>
          <w:sz w:val="28"/>
          <w:szCs w:val="28"/>
          <w:lang w:val="en-US"/>
        </w:rPr>
      </w:pPr>
      <w:r w:rsidRPr="00632C85">
        <w:rPr>
          <w:b/>
          <w:color w:val="000000" w:themeColor="text1"/>
          <w:sz w:val="28"/>
          <w:szCs w:val="28"/>
          <w:lang w:val="en-US"/>
        </w:rPr>
        <w:t>What the High Performance Complex (HPC) offers</w:t>
      </w:r>
    </w:p>
    <w:p w:rsidR="00F9150E" w:rsidRPr="00E4644C" w:rsidRDefault="00F9150E" w:rsidP="00F9150E">
      <w:pPr>
        <w:rPr>
          <w:color w:val="000000" w:themeColor="text1"/>
          <w:sz w:val="24"/>
          <w:szCs w:val="24"/>
          <w:lang w:val="en-US"/>
        </w:rPr>
      </w:pPr>
      <w:r w:rsidRPr="00E4644C">
        <w:rPr>
          <w:color w:val="000000" w:themeColor="text1"/>
          <w:sz w:val="24"/>
          <w:szCs w:val="24"/>
          <w:lang w:val="en-US"/>
        </w:rPr>
        <w:t xml:space="preserve">NMMU’s new High Performance Complex (HPC) offers academic </w:t>
      </w:r>
      <w:proofErr w:type="spellStart"/>
      <w:r w:rsidRPr="00E4644C">
        <w:rPr>
          <w:color w:val="000000" w:themeColor="text1"/>
          <w:sz w:val="24"/>
          <w:szCs w:val="24"/>
          <w:lang w:val="en-US"/>
        </w:rPr>
        <w:t>programmes</w:t>
      </w:r>
      <w:proofErr w:type="spellEnd"/>
      <w:r w:rsidRPr="00E4644C">
        <w:rPr>
          <w:color w:val="000000" w:themeColor="text1"/>
          <w:sz w:val="24"/>
          <w:szCs w:val="24"/>
          <w:lang w:val="en-US"/>
        </w:rPr>
        <w:t xml:space="preserve"> and services in the field of Human Movement Science and Dietetics. Their </w:t>
      </w:r>
      <w:proofErr w:type="spellStart"/>
      <w:r w:rsidRPr="00E4644C">
        <w:rPr>
          <w:color w:val="000000" w:themeColor="text1"/>
          <w:sz w:val="24"/>
          <w:szCs w:val="24"/>
          <w:lang w:val="en-US"/>
        </w:rPr>
        <w:t>Biokinetics</w:t>
      </w:r>
      <w:proofErr w:type="spellEnd"/>
      <w:r w:rsidRPr="00E4644C">
        <w:rPr>
          <w:color w:val="000000" w:themeColor="text1"/>
          <w:sz w:val="24"/>
          <w:szCs w:val="24"/>
          <w:lang w:val="en-US"/>
        </w:rPr>
        <w:t xml:space="preserve"> and Sport Science Unit (BSSU) offers professional health promotion, restorative and rehabilitative services (</w:t>
      </w:r>
      <w:proofErr w:type="spellStart"/>
      <w:r w:rsidRPr="00E4644C">
        <w:rPr>
          <w:color w:val="000000" w:themeColor="text1"/>
          <w:sz w:val="24"/>
          <w:szCs w:val="24"/>
          <w:lang w:val="en-US"/>
        </w:rPr>
        <w:t>biokinetics</w:t>
      </w:r>
      <w:proofErr w:type="spellEnd"/>
      <w:r w:rsidR="00632C85">
        <w:rPr>
          <w:color w:val="000000" w:themeColor="text1"/>
          <w:sz w:val="24"/>
          <w:szCs w:val="24"/>
          <w:lang w:val="en-US"/>
        </w:rPr>
        <w:t>-</w:t>
      </w:r>
      <w:r w:rsidRPr="00E4644C">
        <w:rPr>
          <w:color w:val="000000" w:themeColor="text1"/>
          <w:sz w:val="24"/>
          <w:szCs w:val="24"/>
          <w:lang w:val="en-US"/>
        </w:rPr>
        <w:t>related) as well as performance enhancement and other sport</w:t>
      </w:r>
      <w:r w:rsidR="00632C85">
        <w:rPr>
          <w:color w:val="000000" w:themeColor="text1"/>
          <w:sz w:val="24"/>
          <w:szCs w:val="24"/>
          <w:lang w:val="en-US"/>
        </w:rPr>
        <w:t>-</w:t>
      </w:r>
      <w:r w:rsidRPr="00E4644C">
        <w:rPr>
          <w:color w:val="000000" w:themeColor="text1"/>
          <w:sz w:val="24"/>
          <w:szCs w:val="24"/>
          <w:lang w:val="en-US"/>
        </w:rPr>
        <w:t>related services (sport science related) to both the community and elite athlete</w:t>
      </w:r>
      <w:r w:rsidR="00504B3E">
        <w:rPr>
          <w:color w:val="000000" w:themeColor="text1"/>
          <w:sz w:val="24"/>
          <w:szCs w:val="24"/>
          <w:lang w:val="en-US"/>
        </w:rPr>
        <w:t>s</w:t>
      </w:r>
      <w:r w:rsidRPr="00E4644C">
        <w:rPr>
          <w:color w:val="000000" w:themeColor="text1"/>
          <w:sz w:val="24"/>
          <w:szCs w:val="24"/>
          <w:lang w:val="en-US"/>
        </w:rPr>
        <w:t>.</w:t>
      </w:r>
    </w:p>
    <w:p w:rsidR="00632C85" w:rsidRDefault="00F9150E" w:rsidP="00F9150E">
      <w:pPr>
        <w:pStyle w:val="BodyText"/>
        <w:suppressAutoHyphens/>
        <w:ind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E4644C">
        <w:rPr>
          <w:rFonts w:asciiTheme="minorHAnsi" w:hAnsiTheme="minorHAnsi"/>
          <w:color w:val="000000" w:themeColor="text1"/>
          <w:sz w:val="24"/>
          <w:szCs w:val="24"/>
        </w:rPr>
        <w:t>The HPC is made up of a new double-storey H</w:t>
      </w:r>
      <w:r w:rsidR="00632C85">
        <w:rPr>
          <w:rFonts w:asciiTheme="minorHAnsi" w:hAnsiTheme="minorHAnsi"/>
          <w:color w:val="000000" w:themeColor="text1"/>
          <w:sz w:val="24"/>
          <w:szCs w:val="24"/>
        </w:rPr>
        <w:t xml:space="preserve">uman </w:t>
      </w:r>
      <w:r w:rsidRPr="00E4644C">
        <w:rPr>
          <w:rFonts w:asciiTheme="minorHAnsi" w:hAnsiTheme="minorHAnsi"/>
          <w:color w:val="000000" w:themeColor="text1"/>
          <w:sz w:val="24"/>
          <w:szCs w:val="24"/>
        </w:rPr>
        <w:t>M</w:t>
      </w:r>
      <w:r w:rsidR="00632C85">
        <w:rPr>
          <w:rFonts w:asciiTheme="minorHAnsi" w:hAnsiTheme="minorHAnsi"/>
          <w:color w:val="000000" w:themeColor="text1"/>
          <w:sz w:val="24"/>
          <w:szCs w:val="24"/>
        </w:rPr>
        <w:t xml:space="preserve">ovement </w:t>
      </w:r>
      <w:r w:rsidRPr="00E4644C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632C85">
        <w:rPr>
          <w:rFonts w:asciiTheme="minorHAnsi" w:hAnsiTheme="minorHAnsi"/>
          <w:color w:val="000000" w:themeColor="text1"/>
          <w:sz w:val="24"/>
          <w:szCs w:val="24"/>
        </w:rPr>
        <w:t>cience</w:t>
      </w:r>
      <w:r w:rsidRPr="00E4644C">
        <w:rPr>
          <w:rFonts w:asciiTheme="minorHAnsi" w:hAnsiTheme="minorHAnsi"/>
          <w:color w:val="000000" w:themeColor="text1"/>
          <w:sz w:val="24"/>
          <w:szCs w:val="24"/>
        </w:rPr>
        <w:t xml:space="preserve"> centre, with two gymnasiums, laboratories, lecture halls, </w:t>
      </w:r>
      <w:proofErr w:type="spellStart"/>
      <w:r w:rsidRPr="00E4644C">
        <w:rPr>
          <w:rFonts w:asciiTheme="minorHAnsi" w:hAnsiTheme="minorHAnsi"/>
          <w:color w:val="000000" w:themeColor="text1"/>
          <w:sz w:val="24"/>
          <w:szCs w:val="24"/>
        </w:rPr>
        <w:t>biokinetic</w:t>
      </w:r>
      <w:r w:rsidR="00632C85">
        <w:rPr>
          <w:rFonts w:asciiTheme="minorHAnsi" w:hAnsiTheme="minorHAnsi"/>
          <w:color w:val="000000" w:themeColor="text1"/>
          <w:sz w:val="24"/>
          <w:szCs w:val="24"/>
        </w:rPr>
        <w:t>ist’s</w:t>
      </w:r>
      <w:proofErr w:type="spellEnd"/>
      <w:r w:rsidRPr="00E4644C">
        <w:rPr>
          <w:rFonts w:asciiTheme="minorHAnsi" w:hAnsiTheme="minorHAnsi"/>
          <w:color w:val="000000" w:themeColor="text1"/>
          <w:sz w:val="24"/>
          <w:szCs w:val="24"/>
        </w:rPr>
        <w:t xml:space="preserve"> consultation rooms, a dietetics wing and research </w:t>
      </w:r>
      <w:r w:rsidR="00632C85">
        <w:rPr>
          <w:rFonts w:asciiTheme="minorHAnsi" w:hAnsiTheme="minorHAnsi"/>
          <w:color w:val="000000" w:themeColor="text1"/>
          <w:sz w:val="24"/>
          <w:szCs w:val="24"/>
        </w:rPr>
        <w:t xml:space="preserve">sprint </w:t>
      </w:r>
      <w:r w:rsidRPr="00E4644C">
        <w:rPr>
          <w:rFonts w:asciiTheme="minorHAnsi" w:hAnsiTheme="minorHAnsi"/>
          <w:color w:val="000000" w:themeColor="text1"/>
          <w:sz w:val="24"/>
          <w:szCs w:val="24"/>
        </w:rPr>
        <w:t>facility</w:t>
      </w:r>
      <w:r w:rsidR="00632C85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32C85" w:rsidRDefault="00632C85" w:rsidP="00F9150E">
      <w:pPr>
        <w:pStyle w:val="BodyText"/>
        <w:suppressAutoHyphens/>
        <w:ind w:firstLine="0"/>
        <w:rPr>
          <w:rFonts w:asciiTheme="minorHAnsi" w:hAnsiTheme="minorHAnsi"/>
          <w:color w:val="000000" w:themeColor="text1"/>
          <w:sz w:val="24"/>
          <w:szCs w:val="24"/>
        </w:rPr>
      </w:pPr>
    </w:p>
    <w:p w:rsidR="00F9150E" w:rsidRPr="00E4644C" w:rsidRDefault="00632C85" w:rsidP="00F9150E">
      <w:pPr>
        <w:pStyle w:val="BodyText"/>
        <w:suppressAutoHyphens/>
        <w:ind w:firstLine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The R34m building </w:t>
      </w:r>
      <w:r w:rsidR="00F9150E" w:rsidRPr="00E4644C">
        <w:rPr>
          <w:rFonts w:asciiTheme="minorHAnsi" w:hAnsiTheme="minorHAnsi"/>
          <w:color w:val="000000" w:themeColor="text1"/>
          <w:sz w:val="24"/>
          <w:szCs w:val="24"/>
        </w:rPr>
        <w:t xml:space="preserve">is situated alongside 12 tennis courts, three football fields, three cricket fields, two netball courts, a grass athletics track, a multi-purposed 10 000-seater stadium for rugby and football, and an Olympic standard athletics track. </w:t>
      </w:r>
    </w:p>
    <w:p w:rsidR="00F9150E" w:rsidRPr="00E4644C" w:rsidRDefault="00F9150E" w:rsidP="00F9150E">
      <w:pPr>
        <w:pStyle w:val="BodyText"/>
        <w:suppressAutoHyphens/>
        <w:ind w:firstLine="0"/>
        <w:rPr>
          <w:rFonts w:asciiTheme="minorHAnsi" w:hAnsiTheme="minorHAnsi"/>
          <w:color w:val="000000" w:themeColor="text1"/>
          <w:sz w:val="24"/>
          <w:szCs w:val="24"/>
        </w:rPr>
      </w:pPr>
    </w:p>
    <w:p w:rsidR="00F9150E" w:rsidRPr="00E4644C" w:rsidRDefault="00F9150E" w:rsidP="00F9150E">
      <w:pPr>
        <w:pStyle w:val="BodyText"/>
        <w:suppressAutoHyphens/>
        <w:ind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E4644C">
        <w:rPr>
          <w:rFonts w:asciiTheme="minorHAnsi" w:hAnsiTheme="minorHAnsi"/>
          <w:color w:val="000000" w:themeColor="text1"/>
          <w:sz w:val="24"/>
          <w:szCs w:val="24"/>
        </w:rPr>
        <w:t>There’s also an indoor sports centre which hosts basketball and volleyball courts with seating for 4 500 spectators and a recently-expanded fitness and aquatic centre, which houses gyms, two heated pools and six squash courts.</w:t>
      </w:r>
    </w:p>
    <w:p w:rsidR="00F9150E" w:rsidRPr="00E4644C" w:rsidRDefault="00F9150E" w:rsidP="00F9150E">
      <w:pPr>
        <w:pStyle w:val="BodyText"/>
        <w:suppressAutoHyphens/>
        <w:ind w:firstLine="0"/>
        <w:rPr>
          <w:rFonts w:asciiTheme="minorHAnsi" w:hAnsiTheme="minorHAnsi"/>
          <w:color w:val="000000" w:themeColor="text1"/>
          <w:sz w:val="24"/>
          <w:szCs w:val="24"/>
        </w:rPr>
      </w:pPr>
    </w:p>
    <w:p w:rsidR="00F9150E" w:rsidRDefault="00F9150E" w:rsidP="00F9150E">
      <w:pPr>
        <w:pStyle w:val="BodyText"/>
        <w:suppressAutoHyphens/>
        <w:ind w:firstLine="0"/>
        <w:rPr>
          <w:rFonts w:asciiTheme="minorHAnsi" w:hAnsiTheme="minorHAnsi"/>
          <w:color w:val="000000" w:themeColor="text1"/>
          <w:sz w:val="24"/>
          <w:szCs w:val="24"/>
        </w:rPr>
      </w:pPr>
      <w:r w:rsidRPr="00E4644C">
        <w:rPr>
          <w:rFonts w:asciiTheme="minorHAnsi" w:hAnsiTheme="minorHAnsi"/>
          <w:color w:val="000000" w:themeColor="text1"/>
          <w:sz w:val="24"/>
          <w:szCs w:val="24"/>
        </w:rPr>
        <w:t xml:space="preserve">A new hockey </w:t>
      </w:r>
      <w:proofErr w:type="spellStart"/>
      <w:proofErr w:type="gramStart"/>
      <w:r w:rsidRPr="00E4644C">
        <w:rPr>
          <w:rFonts w:asciiTheme="minorHAnsi" w:hAnsiTheme="minorHAnsi"/>
          <w:color w:val="000000" w:themeColor="text1"/>
          <w:sz w:val="24"/>
          <w:szCs w:val="24"/>
        </w:rPr>
        <w:t>astroturf</w:t>
      </w:r>
      <w:proofErr w:type="spellEnd"/>
      <w:proofErr w:type="gramEnd"/>
      <w:r w:rsidRPr="00E4644C">
        <w:rPr>
          <w:rFonts w:asciiTheme="minorHAnsi" w:hAnsiTheme="minorHAnsi"/>
          <w:color w:val="000000" w:themeColor="text1"/>
          <w:sz w:val="24"/>
          <w:szCs w:val="24"/>
        </w:rPr>
        <w:t xml:space="preserve">, scheduled for completion at the end of 2015, will be located just 150m from the new centre.  </w:t>
      </w:r>
    </w:p>
    <w:p w:rsidR="00F9150E" w:rsidRPr="00E16A65" w:rsidRDefault="00F9150E" w:rsidP="00F9150E">
      <w:pPr>
        <w:pStyle w:val="BodyText"/>
        <w:suppressAutoHyphens/>
        <w:ind w:firstLine="0"/>
        <w:rPr>
          <w:rFonts w:asciiTheme="minorHAnsi" w:hAnsiTheme="minorHAnsi"/>
          <w:color w:val="000000" w:themeColor="text1"/>
          <w:sz w:val="24"/>
          <w:szCs w:val="24"/>
        </w:rPr>
      </w:pPr>
    </w:p>
    <w:p w:rsidR="00504B3E" w:rsidRPr="00504B3E" w:rsidRDefault="00504B3E" w:rsidP="00F9150E">
      <w:pPr>
        <w:rPr>
          <w:b/>
          <w:color w:val="000000" w:themeColor="text1"/>
          <w:sz w:val="24"/>
          <w:szCs w:val="24"/>
          <w:lang w:val="en-US"/>
        </w:rPr>
      </w:pPr>
      <w:r w:rsidRPr="00504B3E">
        <w:rPr>
          <w:b/>
          <w:color w:val="000000" w:themeColor="text1"/>
          <w:sz w:val="24"/>
          <w:szCs w:val="24"/>
          <w:lang w:val="en-US"/>
        </w:rPr>
        <w:t>Research sprint track</w:t>
      </w:r>
    </w:p>
    <w:p w:rsidR="00F9150E" w:rsidRPr="00E4644C" w:rsidRDefault="00F9150E" w:rsidP="00F9150E">
      <w:pPr>
        <w:rPr>
          <w:color w:val="000000" w:themeColor="text1"/>
          <w:sz w:val="24"/>
          <w:szCs w:val="24"/>
          <w:lang w:val="en-US"/>
        </w:rPr>
      </w:pPr>
      <w:r w:rsidRPr="00E4644C">
        <w:rPr>
          <w:color w:val="000000" w:themeColor="text1"/>
          <w:sz w:val="24"/>
          <w:szCs w:val="24"/>
          <w:lang w:val="en-US"/>
        </w:rPr>
        <w:t xml:space="preserve">The facility boasts the only 90m fully-enclosed indoor tartan track in Africa which includes the state-of-the art integrated </w:t>
      </w:r>
      <w:r w:rsidR="00504B3E">
        <w:rPr>
          <w:color w:val="000000" w:themeColor="text1"/>
          <w:sz w:val="24"/>
          <w:szCs w:val="24"/>
          <w:lang w:val="en-US"/>
        </w:rPr>
        <w:t xml:space="preserve">research analysis </w:t>
      </w:r>
      <w:r w:rsidRPr="00E4644C">
        <w:rPr>
          <w:color w:val="000000" w:themeColor="text1"/>
          <w:sz w:val="24"/>
          <w:szCs w:val="24"/>
          <w:lang w:val="en-US"/>
        </w:rPr>
        <w:t xml:space="preserve">system. This integrated system consists of the Vicon 3D motion analysis system, high speed cameras, Kistler </w:t>
      </w:r>
      <w:r w:rsidR="00504B3E">
        <w:rPr>
          <w:color w:val="000000" w:themeColor="text1"/>
          <w:sz w:val="24"/>
          <w:szCs w:val="24"/>
          <w:lang w:val="en-US"/>
        </w:rPr>
        <w:t>f</w:t>
      </w:r>
      <w:r w:rsidRPr="00E4644C">
        <w:rPr>
          <w:color w:val="000000" w:themeColor="text1"/>
          <w:sz w:val="24"/>
          <w:szCs w:val="24"/>
          <w:lang w:val="en-US"/>
        </w:rPr>
        <w:t xml:space="preserve">orce </w:t>
      </w:r>
      <w:r w:rsidR="00504B3E">
        <w:rPr>
          <w:color w:val="000000" w:themeColor="text1"/>
          <w:sz w:val="24"/>
          <w:szCs w:val="24"/>
          <w:lang w:val="en-US"/>
        </w:rPr>
        <w:t>p</w:t>
      </w:r>
      <w:r w:rsidRPr="00E4644C">
        <w:rPr>
          <w:color w:val="000000" w:themeColor="text1"/>
          <w:sz w:val="24"/>
          <w:szCs w:val="24"/>
          <w:lang w:val="en-US"/>
        </w:rPr>
        <w:t xml:space="preserve">lates embedded into the track, and </w:t>
      </w:r>
      <w:r w:rsidR="005A745B">
        <w:rPr>
          <w:color w:val="000000" w:themeColor="text1"/>
          <w:sz w:val="24"/>
          <w:szCs w:val="24"/>
          <w:lang w:val="en-US"/>
        </w:rPr>
        <w:t>the world’s</w:t>
      </w:r>
      <w:r w:rsidR="00504B3E">
        <w:rPr>
          <w:color w:val="000000" w:themeColor="text1"/>
          <w:sz w:val="24"/>
          <w:szCs w:val="24"/>
          <w:lang w:val="en-US"/>
        </w:rPr>
        <w:t xml:space="preserve"> first </w:t>
      </w:r>
      <w:r w:rsidR="005A745B">
        <w:rPr>
          <w:color w:val="000000" w:themeColor="text1"/>
          <w:sz w:val="24"/>
          <w:szCs w:val="24"/>
          <w:lang w:val="en-US"/>
        </w:rPr>
        <w:t>piezoelectric double force plate starting blocks manufactured by Kistler</w:t>
      </w:r>
      <w:bookmarkStart w:id="0" w:name="_GoBack"/>
      <w:bookmarkEnd w:id="0"/>
      <w:r w:rsidRPr="00E4644C">
        <w:rPr>
          <w:color w:val="000000" w:themeColor="text1"/>
          <w:sz w:val="24"/>
          <w:szCs w:val="24"/>
          <w:lang w:val="en-US"/>
        </w:rPr>
        <w:t xml:space="preserve">. </w:t>
      </w:r>
    </w:p>
    <w:p w:rsidR="00504B3E" w:rsidRDefault="00F9150E" w:rsidP="00F9150E">
      <w:pPr>
        <w:rPr>
          <w:color w:val="000000" w:themeColor="text1"/>
          <w:sz w:val="24"/>
          <w:szCs w:val="24"/>
          <w:lang w:val="en-US"/>
        </w:rPr>
      </w:pPr>
      <w:r w:rsidRPr="00E4644C">
        <w:rPr>
          <w:color w:val="000000" w:themeColor="text1"/>
          <w:sz w:val="24"/>
          <w:szCs w:val="24"/>
          <w:lang w:val="en-US"/>
        </w:rPr>
        <w:t>The system will not only be used for sophisticated biomechanical analyses of sprinting performance but also for other applications such as speed development in other sports</w:t>
      </w:r>
      <w:r w:rsidR="00504B3E">
        <w:rPr>
          <w:color w:val="000000" w:themeColor="text1"/>
          <w:sz w:val="24"/>
          <w:szCs w:val="24"/>
          <w:lang w:val="en-US"/>
        </w:rPr>
        <w:t>.</w:t>
      </w:r>
    </w:p>
    <w:p w:rsidR="00504B3E" w:rsidRPr="00504B3E" w:rsidRDefault="00504B3E" w:rsidP="00F9150E">
      <w:pPr>
        <w:rPr>
          <w:b/>
          <w:color w:val="000000" w:themeColor="text1"/>
          <w:sz w:val="24"/>
          <w:szCs w:val="24"/>
          <w:lang w:val="en-US"/>
        </w:rPr>
      </w:pPr>
      <w:r w:rsidRPr="00504B3E">
        <w:rPr>
          <w:b/>
          <w:color w:val="000000" w:themeColor="text1"/>
          <w:sz w:val="24"/>
          <w:szCs w:val="24"/>
          <w:lang w:val="en-US"/>
        </w:rPr>
        <w:t>Rehabilitation</w:t>
      </w:r>
    </w:p>
    <w:p w:rsidR="00F9150E" w:rsidRPr="00E4644C" w:rsidRDefault="00504B3E" w:rsidP="00F9150E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It will also be used </w:t>
      </w:r>
      <w:r w:rsidR="00F9150E" w:rsidRPr="00E4644C">
        <w:rPr>
          <w:color w:val="000000" w:themeColor="text1"/>
          <w:sz w:val="24"/>
          <w:szCs w:val="24"/>
          <w:lang w:val="en-US"/>
        </w:rPr>
        <w:t xml:space="preserve">for rehabilitative purposes such as monitoring </w:t>
      </w:r>
      <w:r>
        <w:rPr>
          <w:color w:val="000000" w:themeColor="text1"/>
          <w:sz w:val="24"/>
          <w:szCs w:val="24"/>
          <w:lang w:val="en-US"/>
        </w:rPr>
        <w:t>the</w:t>
      </w:r>
      <w:r w:rsidR="00F9150E" w:rsidRPr="00E4644C">
        <w:rPr>
          <w:color w:val="000000" w:themeColor="text1"/>
          <w:sz w:val="24"/>
          <w:szCs w:val="24"/>
          <w:lang w:val="en-US"/>
        </w:rPr>
        <w:t xml:space="preserve"> effect</w:t>
      </w:r>
      <w:r>
        <w:rPr>
          <w:color w:val="000000" w:themeColor="text1"/>
          <w:sz w:val="24"/>
          <w:szCs w:val="24"/>
          <w:lang w:val="en-US"/>
        </w:rPr>
        <w:t>s</w:t>
      </w:r>
      <w:r w:rsidR="00F9150E" w:rsidRPr="00E4644C">
        <w:rPr>
          <w:color w:val="000000" w:themeColor="text1"/>
          <w:sz w:val="24"/>
          <w:szCs w:val="24"/>
          <w:lang w:val="en-US"/>
        </w:rPr>
        <w:t xml:space="preserve"> of a </w:t>
      </w:r>
      <w:proofErr w:type="spellStart"/>
      <w:r w:rsidR="00F9150E" w:rsidRPr="00E4644C">
        <w:rPr>
          <w:color w:val="000000" w:themeColor="text1"/>
          <w:sz w:val="24"/>
          <w:szCs w:val="24"/>
          <w:lang w:val="en-US"/>
        </w:rPr>
        <w:t>biok</w:t>
      </w:r>
      <w:r>
        <w:rPr>
          <w:color w:val="000000" w:themeColor="text1"/>
          <w:sz w:val="24"/>
          <w:szCs w:val="24"/>
          <w:lang w:val="en-US"/>
        </w:rPr>
        <w:t>i</w:t>
      </w:r>
      <w:r w:rsidR="00F9150E" w:rsidRPr="00E4644C">
        <w:rPr>
          <w:color w:val="000000" w:themeColor="text1"/>
          <w:sz w:val="24"/>
          <w:szCs w:val="24"/>
          <w:lang w:val="en-US"/>
        </w:rPr>
        <w:t>netic</w:t>
      </w:r>
      <w:proofErr w:type="spellEnd"/>
      <w:r w:rsidR="00F9150E" w:rsidRPr="00E4644C">
        <w:rPr>
          <w:color w:val="000000" w:themeColor="text1"/>
          <w:sz w:val="24"/>
          <w:szCs w:val="24"/>
          <w:lang w:val="en-US"/>
        </w:rPr>
        <w:t xml:space="preserve"> training </w:t>
      </w:r>
      <w:proofErr w:type="spellStart"/>
      <w:r w:rsidR="00F9150E" w:rsidRPr="00E4644C">
        <w:rPr>
          <w:color w:val="000000" w:themeColor="text1"/>
          <w:sz w:val="24"/>
          <w:szCs w:val="24"/>
          <w:lang w:val="en-US"/>
        </w:rPr>
        <w:t>programme</w:t>
      </w:r>
      <w:proofErr w:type="spellEnd"/>
      <w:r w:rsidR="00F9150E" w:rsidRPr="00E4644C">
        <w:rPr>
          <w:color w:val="000000" w:themeColor="text1"/>
          <w:sz w:val="24"/>
          <w:szCs w:val="24"/>
          <w:lang w:val="en-US"/>
        </w:rPr>
        <w:t xml:space="preserve"> on the movement efficiency of patients </w:t>
      </w:r>
      <w:proofErr w:type="spellStart"/>
      <w:r w:rsidR="00F9150E" w:rsidRPr="00E4644C">
        <w:rPr>
          <w:color w:val="000000" w:themeColor="text1"/>
          <w:sz w:val="24"/>
          <w:szCs w:val="24"/>
          <w:lang w:val="en-US"/>
        </w:rPr>
        <w:t>eg</w:t>
      </w:r>
      <w:proofErr w:type="spellEnd"/>
      <w:r w:rsidR="00F9150E" w:rsidRPr="00E4644C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color w:val="000000" w:themeColor="text1"/>
          <w:sz w:val="24"/>
          <w:szCs w:val="24"/>
          <w:lang w:val="en-US"/>
        </w:rPr>
        <w:t>s</w:t>
      </w:r>
      <w:r w:rsidR="00F9150E" w:rsidRPr="00E4644C">
        <w:rPr>
          <w:color w:val="000000" w:themeColor="text1"/>
          <w:sz w:val="24"/>
          <w:szCs w:val="24"/>
          <w:lang w:val="en-US"/>
        </w:rPr>
        <w:t>troke</w:t>
      </w:r>
      <w:proofErr w:type="gramEnd"/>
      <w:r w:rsidR="00F9150E" w:rsidRPr="00E4644C">
        <w:rPr>
          <w:color w:val="000000" w:themeColor="text1"/>
          <w:sz w:val="24"/>
          <w:szCs w:val="24"/>
          <w:lang w:val="en-US"/>
        </w:rPr>
        <w:t xml:space="preserve">, neurological and elderly patients as well as amputees.  </w:t>
      </w:r>
    </w:p>
    <w:p w:rsidR="00F9150E" w:rsidRPr="00E4644C" w:rsidRDefault="00F9150E" w:rsidP="00F9150E">
      <w:pPr>
        <w:rPr>
          <w:bCs/>
          <w:color w:val="000000" w:themeColor="text1"/>
          <w:sz w:val="24"/>
          <w:szCs w:val="24"/>
          <w:lang w:val="en-US"/>
        </w:rPr>
      </w:pPr>
      <w:r w:rsidRPr="00E4644C">
        <w:rPr>
          <w:color w:val="000000" w:themeColor="text1"/>
          <w:sz w:val="24"/>
          <w:szCs w:val="24"/>
          <w:lang w:val="en-US"/>
        </w:rPr>
        <w:t xml:space="preserve">“So while this sounds like it caters only for the elite of athletes, this technology allows us to assess and </w:t>
      </w:r>
      <w:proofErr w:type="spellStart"/>
      <w:r w:rsidRPr="00E4644C">
        <w:rPr>
          <w:color w:val="000000" w:themeColor="text1"/>
          <w:sz w:val="24"/>
          <w:szCs w:val="24"/>
          <w:lang w:val="en-US"/>
        </w:rPr>
        <w:t>analyse</w:t>
      </w:r>
      <w:proofErr w:type="spellEnd"/>
      <w:r w:rsidRPr="00E4644C">
        <w:rPr>
          <w:color w:val="000000" w:themeColor="text1"/>
          <w:sz w:val="24"/>
          <w:szCs w:val="24"/>
          <w:lang w:val="en-US"/>
        </w:rPr>
        <w:t xml:space="preserve"> gait parameters for any population group, almost any activity of daily living, movement inefficiencies or movements that may be associated with a higher risk of injury,</w:t>
      </w:r>
      <w:r w:rsidR="00504B3E">
        <w:rPr>
          <w:color w:val="000000" w:themeColor="text1"/>
          <w:sz w:val="24"/>
          <w:szCs w:val="24"/>
          <w:lang w:val="en-US"/>
        </w:rPr>
        <w:t xml:space="preserve">” </w:t>
      </w:r>
      <w:r w:rsidRPr="00E4644C">
        <w:rPr>
          <w:color w:val="000000" w:themeColor="text1"/>
          <w:sz w:val="24"/>
          <w:szCs w:val="24"/>
          <w:lang w:val="en-US"/>
        </w:rPr>
        <w:t xml:space="preserve">says NMMU BSSU </w:t>
      </w:r>
      <w:r w:rsidR="00504B3E">
        <w:rPr>
          <w:color w:val="000000" w:themeColor="text1"/>
          <w:sz w:val="24"/>
          <w:szCs w:val="24"/>
          <w:lang w:val="en-US"/>
        </w:rPr>
        <w:t>s</w:t>
      </w:r>
      <w:r w:rsidRPr="00E4644C">
        <w:rPr>
          <w:color w:val="000000" w:themeColor="text1"/>
          <w:sz w:val="24"/>
          <w:szCs w:val="24"/>
          <w:lang w:val="en-US"/>
        </w:rPr>
        <w:t xml:space="preserve">enior </w:t>
      </w:r>
      <w:proofErr w:type="spellStart"/>
      <w:r w:rsidR="00504B3E">
        <w:rPr>
          <w:color w:val="000000" w:themeColor="text1"/>
          <w:sz w:val="24"/>
          <w:szCs w:val="24"/>
          <w:lang w:val="en-US"/>
        </w:rPr>
        <w:t>b</w:t>
      </w:r>
      <w:r w:rsidRPr="00E4644C">
        <w:rPr>
          <w:color w:val="000000" w:themeColor="text1"/>
          <w:sz w:val="24"/>
          <w:szCs w:val="24"/>
          <w:lang w:val="en-US"/>
        </w:rPr>
        <w:t>iokinetic</w:t>
      </w:r>
      <w:r w:rsidR="00504B3E">
        <w:rPr>
          <w:color w:val="000000" w:themeColor="text1"/>
          <w:sz w:val="24"/>
          <w:szCs w:val="24"/>
          <w:lang w:val="en-US"/>
        </w:rPr>
        <w:t>ist</w:t>
      </w:r>
      <w:proofErr w:type="spellEnd"/>
      <w:r w:rsidRPr="00E4644C">
        <w:rPr>
          <w:color w:val="000000" w:themeColor="text1"/>
          <w:sz w:val="24"/>
          <w:szCs w:val="24"/>
          <w:lang w:val="en-US"/>
        </w:rPr>
        <w:t xml:space="preserve"> </w:t>
      </w:r>
      <w:r w:rsidRPr="00E4644C">
        <w:rPr>
          <w:bCs/>
          <w:color w:val="000000" w:themeColor="text1"/>
          <w:sz w:val="24"/>
          <w:szCs w:val="24"/>
          <w:lang w:val="en-US"/>
        </w:rPr>
        <w:t>Lisa Grenfell.</w:t>
      </w:r>
    </w:p>
    <w:p w:rsidR="00504B3E" w:rsidRPr="00504B3E" w:rsidRDefault="00504B3E" w:rsidP="00F9150E">
      <w:pPr>
        <w:rPr>
          <w:b/>
          <w:color w:val="000000" w:themeColor="text1"/>
          <w:sz w:val="24"/>
          <w:szCs w:val="24"/>
          <w:lang w:val="en-US"/>
        </w:rPr>
      </w:pPr>
      <w:r w:rsidRPr="00504B3E">
        <w:rPr>
          <w:b/>
          <w:color w:val="000000" w:themeColor="text1"/>
          <w:sz w:val="24"/>
          <w:szCs w:val="24"/>
          <w:lang w:val="en-US"/>
        </w:rPr>
        <w:t>HPCSA registered</w:t>
      </w:r>
    </w:p>
    <w:p w:rsidR="004C5129" w:rsidRDefault="00F9150E">
      <w:pPr>
        <w:rPr>
          <w:color w:val="000000" w:themeColor="text1"/>
          <w:sz w:val="24"/>
          <w:szCs w:val="24"/>
          <w:lang w:val="en-US"/>
        </w:rPr>
      </w:pPr>
      <w:r w:rsidRPr="00E4644C">
        <w:rPr>
          <w:color w:val="000000" w:themeColor="text1"/>
          <w:sz w:val="24"/>
          <w:szCs w:val="24"/>
          <w:lang w:val="en-US"/>
        </w:rPr>
        <w:lastRenderedPageBreak/>
        <w:t>The facility is also a fully</w:t>
      </w:r>
      <w:r w:rsidR="00504B3E">
        <w:rPr>
          <w:color w:val="000000" w:themeColor="text1"/>
          <w:sz w:val="24"/>
          <w:szCs w:val="24"/>
          <w:lang w:val="en-US"/>
        </w:rPr>
        <w:t>-</w:t>
      </w:r>
      <w:r w:rsidRPr="00E4644C">
        <w:rPr>
          <w:color w:val="000000" w:themeColor="text1"/>
          <w:sz w:val="24"/>
          <w:szCs w:val="24"/>
          <w:lang w:val="en-US"/>
        </w:rPr>
        <w:t>functioning H</w:t>
      </w:r>
      <w:r w:rsidR="00504B3E">
        <w:rPr>
          <w:color w:val="000000" w:themeColor="text1"/>
          <w:sz w:val="24"/>
          <w:szCs w:val="24"/>
          <w:lang w:val="en-US"/>
        </w:rPr>
        <w:t xml:space="preserve">ealth </w:t>
      </w:r>
      <w:r w:rsidRPr="00E4644C">
        <w:rPr>
          <w:color w:val="000000" w:themeColor="text1"/>
          <w:sz w:val="24"/>
          <w:szCs w:val="24"/>
          <w:lang w:val="en-US"/>
        </w:rPr>
        <w:t>P</w:t>
      </w:r>
      <w:r w:rsidR="00504B3E">
        <w:rPr>
          <w:color w:val="000000" w:themeColor="text1"/>
          <w:sz w:val="24"/>
          <w:szCs w:val="24"/>
          <w:lang w:val="en-US"/>
        </w:rPr>
        <w:t xml:space="preserve">rofessions </w:t>
      </w:r>
      <w:r w:rsidRPr="00E4644C">
        <w:rPr>
          <w:color w:val="000000" w:themeColor="text1"/>
          <w:sz w:val="24"/>
          <w:szCs w:val="24"/>
          <w:lang w:val="en-US"/>
        </w:rPr>
        <w:t>C</w:t>
      </w:r>
      <w:r w:rsidR="00504B3E">
        <w:rPr>
          <w:color w:val="000000" w:themeColor="text1"/>
          <w:sz w:val="24"/>
          <w:szCs w:val="24"/>
          <w:lang w:val="en-US"/>
        </w:rPr>
        <w:t xml:space="preserve">ouncil of South </w:t>
      </w:r>
      <w:r w:rsidRPr="00E4644C">
        <w:rPr>
          <w:color w:val="000000" w:themeColor="text1"/>
          <w:sz w:val="24"/>
          <w:szCs w:val="24"/>
          <w:lang w:val="en-US"/>
        </w:rPr>
        <w:t>A</w:t>
      </w:r>
      <w:r w:rsidR="00504B3E">
        <w:rPr>
          <w:color w:val="000000" w:themeColor="text1"/>
          <w:sz w:val="24"/>
          <w:szCs w:val="24"/>
          <w:lang w:val="en-US"/>
        </w:rPr>
        <w:t>frica</w:t>
      </w:r>
      <w:r w:rsidRPr="00E4644C">
        <w:rPr>
          <w:color w:val="000000" w:themeColor="text1"/>
          <w:sz w:val="24"/>
          <w:szCs w:val="24"/>
          <w:lang w:val="en-US"/>
        </w:rPr>
        <w:t xml:space="preserve"> </w:t>
      </w:r>
      <w:r w:rsidR="00504B3E">
        <w:rPr>
          <w:color w:val="000000" w:themeColor="text1"/>
          <w:sz w:val="24"/>
          <w:szCs w:val="24"/>
          <w:lang w:val="en-US"/>
        </w:rPr>
        <w:t xml:space="preserve">(HPCSA) </w:t>
      </w:r>
      <w:r w:rsidRPr="00E4644C">
        <w:rPr>
          <w:color w:val="000000" w:themeColor="text1"/>
          <w:sz w:val="24"/>
          <w:szCs w:val="24"/>
          <w:lang w:val="en-US"/>
        </w:rPr>
        <w:t xml:space="preserve">registered practice, offering </w:t>
      </w:r>
      <w:r w:rsidR="00504B3E">
        <w:rPr>
          <w:color w:val="000000" w:themeColor="text1"/>
          <w:sz w:val="24"/>
          <w:szCs w:val="24"/>
          <w:lang w:val="en-US"/>
        </w:rPr>
        <w:t>NMMU</w:t>
      </w:r>
      <w:r w:rsidRPr="00E4644C">
        <w:rPr>
          <w:color w:val="000000" w:themeColor="text1"/>
          <w:sz w:val="24"/>
          <w:szCs w:val="24"/>
          <w:lang w:val="en-US"/>
        </w:rPr>
        <w:t xml:space="preserve"> students supervised work and an integrated learning site within the university.</w:t>
      </w:r>
    </w:p>
    <w:sectPr w:rsidR="004C5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z Light">
    <w:panose1 w:val="00000000000000000000"/>
    <w:charset w:val="00"/>
    <w:family w:val="swiss"/>
    <w:notTrueType/>
    <w:pitch w:val="variable"/>
    <w:sig w:usb0="800000AF" w:usb1="5000206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0E"/>
    <w:rsid w:val="001F47EC"/>
    <w:rsid w:val="00504B3E"/>
    <w:rsid w:val="0053078F"/>
    <w:rsid w:val="005A745B"/>
    <w:rsid w:val="00632C85"/>
    <w:rsid w:val="00B255A8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0E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150E"/>
    <w:pPr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Taz Light" w:hAnsi="Taz Light" w:cs="Taz Light"/>
      <w:color w:val="000000"/>
      <w:sz w:val="17"/>
      <w:szCs w:val="17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9150E"/>
    <w:rPr>
      <w:rFonts w:ascii="Taz Light" w:hAnsi="Taz Light" w:cs="Taz Light"/>
      <w:color w:val="000000"/>
      <w:sz w:val="17"/>
      <w:szCs w:val="17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0E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150E"/>
    <w:pPr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Taz Light" w:hAnsi="Taz Light" w:cs="Taz Light"/>
      <w:color w:val="000000"/>
      <w:sz w:val="17"/>
      <w:szCs w:val="17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9150E"/>
    <w:rPr>
      <w:rFonts w:ascii="Taz Light" w:hAnsi="Taz Light" w:cs="Taz Light"/>
      <w:color w:val="000000"/>
      <w:sz w:val="17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Debbie (Ms) (Summerstrand Campus North)</dc:creator>
  <cp:lastModifiedBy>Du Randt, Rosa (Prof) (Summerstrand Campus South)</cp:lastModifiedBy>
  <cp:revision>2</cp:revision>
  <dcterms:created xsi:type="dcterms:W3CDTF">2015-09-21T21:52:00Z</dcterms:created>
  <dcterms:modified xsi:type="dcterms:W3CDTF">2015-09-21T21:52:00Z</dcterms:modified>
</cp:coreProperties>
</file>